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2CE5">
      <w:pPr>
        <w:jc w:val="center"/>
        <w:rPr>
          <w:rFonts w:hint="eastAsia" w:ascii="方正大标宋简体" w:hAnsi="方正大标宋简体" w:eastAsia="方正大标宋简体" w:cs="方正大标宋简体"/>
          <w:b w:val="0"/>
          <w:bCs w:val="0"/>
          <w:sz w:val="44"/>
          <w:szCs w:val="44"/>
        </w:rPr>
      </w:pPr>
      <w:r>
        <w:rPr>
          <w:rFonts w:hint="eastAsia" w:ascii="方正大标宋简体" w:hAnsi="方正大标宋简体" w:eastAsia="方正大标宋简体" w:cs="方正大标宋简体"/>
          <w:b w:val="0"/>
          <w:bCs w:val="0"/>
          <w:sz w:val="44"/>
          <w:szCs w:val="44"/>
          <w:lang w:eastAsia="zh-CN"/>
        </w:rPr>
        <w:t>第二讲</w:t>
      </w:r>
      <w:r>
        <w:rPr>
          <w:rFonts w:hint="eastAsia" w:ascii="方正大标宋简体" w:hAnsi="方正大标宋简体" w:eastAsia="方正大标宋简体" w:cs="方正大标宋简体"/>
          <w:b w:val="0"/>
          <w:bCs w:val="0"/>
          <w:sz w:val="44"/>
          <w:szCs w:val="44"/>
          <w:lang w:val="en-US" w:eastAsia="zh-CN"/>
        </w:rPr>
        <w:t xml:space="preserve">  </w:t>
      </w:r>
      <w:r>
        <w:rPr>
          <w:rFonts w:hint="eastAsia" w:ascii="方正大标宋简体" w:hAnsi="方正大标宋简体" w:eastAsia="方正大标宋简体" w:cs="方正大标宋简体"/>
          <w:b w:val="0"/>
          <w:bCs w:val="0"/>
          <w:sz w:val="44"/>
          <w:szCs w:val="44"/>
        </w:rPr>
        <w:t>慢性鼻窦炎的多维诊疗与综合管理</w:t>
      </w:r>
    </w:p>
    <w:p w14:paraId="55B7B4E5">
      <w:pPr>
        <w:ind w:firstLine="1920" w:firstLineChars="6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福建医科大学附属第一医院</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林兴</w:t>
      </w:r>
    </w:p>
    <w:p w14:paraId="6AD0AA5E">
      <w:pPr>
        <w:rPr>
          <w:rFonts w:hint="eastAsia" w:ascii="仿宋_GB2312" w:hAnsi="仿宋_GB2312" w:eastAsia="仿宋_GB2312" w:cs="仿宋_GB2312"/>
          <w:sz w:val="32"/>
          <w:szCs w:val="32"/>
        </w:rPr>
      </w:pPr>
    </w:p>
    <w:p w14:paraId="2AEF89B2">
      <w:pPr>
        <w:ind w:firstLine="64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鼻窦炎是一种常见的慢性炎症性疾病，病程通常超过12周，主要累及鼻窦及鼻腔黏膜。由于患病人群广泛、临床表现多样、病因和机制复杂，慢性鼻窦炎常被视为耳鼻喉科以及呼吸内科等领域的重要研究和诊治对象。本文根据多学科专家</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共识以及最新文献，系统探讨慢性鼻窦炎的定义、流行病学</w:t>
      </w:r>
    </w:p>
    <w:p w14:paraId="08966F21">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病理生理、临床特征、诊断思路和治疗策略，力求为临床医师提供深入且全面的参考，帮助优化个体化诊疗方案。</w:t>
      </w:r>
    </w:p>
    <w:p w14:paraId="308582D7">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定义</w:t>
      </w:r>
    </w:p>
    <w:p w14:paraId="6224B9B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鼻窦炎其主要诊断要点包括：患者出现鼻阻塞或鼻塞、黏稠或脓性鼻涕（可表现为前鼻涕或后鼻滴漏）、面部或头部的胀痛压迫感、嗅觉减退或缺失之中至少两项，并且症状持续12周以上；客观检查如鼻内镜或影像学（通常是鼻窦CT）证实存在鼻窦黏膜增厚、鼻窦口阻塞或鼻息肉等炎症改变。此类患者不仅表现为长期的鼻窦炎症，还可能在病程中出现急性或亚急性加重的阶段。</w:t>
      </w:r>
    </w:p>
    <w:p w14:paraId="79A053B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去的多项研究表明，慢性鼻窦炎是一组异质性疾病，临床实践中常根据是否存在鼻息肉，将其区分为无息肉型和有息肉型，或进一步细分为真菌性鼻窦炎等少见类型。其中，无息肉型占多数约六成到七成，而合并鼻息肉者约占两到三成，少数患者则符合过敏性真菌鼻窦炎或其他特殊类型。由于各亚型在发病机制、临床表现和治疗反应等方面各有特点，正确区分亚型对临床诊疗有重要意义。</w:t>
      </w:r>
    </w:p>
    <w:p w14:paraId="09C1E56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流行病学与疾病负担</w:t>
      </w:r>
    </w:p>
    <w:p w14:paraId="1729700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行病学调查显示，慢性鼻窦炎在一般人群中的患病率大约在5%到12%之间，部分在中东或其他特定地区的流行病学研究可报告更高比例。其发病年龄多集中于青壮年和中年，也见于儿童和老年人。在性别分布方面，有些研究报道女性患者略多，但尚无完全统一的结论。此外，该疾病可对患者造成明显的生活质量损害，包括注意力下降、睡眠障碍、缺勤缺课，以及社会心理和经济负担。保守估计，在一些发达国家和地区，用于治疗慢性鼻窦炎的直接和间接花费每年可达数十亿乃至更多。</w:t>
      </w:r>
    </w:p>
    <w:p w14:paraId="4A9CC3C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伴有鼻息肉的慢性鼻窦炎患者往往病程更顽固，受累鼻窦更广泛，且易出现术后复发。哮喘等下气道合并症的存在亦加剧了诊治难度。由于慢性鼻窦炎具有多次反复或伴随急性加重的特点，患者长期处于反复就诊和用药状态，间接提高医疗资源使用率和社会经济负担。</w:t>
      </w:r>
    </w:p>
    <w:p w14:paraId="0228F02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病理生理与危险因素</w:t>
      </w:r>
    </w:p>
    <w:p w14:paraId="2B55B0A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慢性鼻窦炎是一个以炎症为核心的疾病谱。传统观点将其视为细菌感染未能彻底清除的结果，但后续研究证实其本质更接近一种慢性炎症-免疫失调状态。其具体机制或可包括：</w:t>
      </w:r>
    </w:p>
    <w:p w14:paraId="01F51F33">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 黏液纤毛功能障碍。</w:t>
      </w:r>
    </w:p>
    <w:p w14:paraId="1167225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正常情况下，鼻窦黏膜具有纤毛摆动及黏液分泌，可有效清除微生物及异物。若其发生功能障碍，易导致分泌物滞留，形成不良微环境并促进细菌或真菌的黏附与生物膜形成。</w:t>
      </w:r>
    </w:p>
    <w:p w14:paraId="198E5EE5">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 慢性炎性反应。</w:t>
      </w:r>
    </w:p>
    <w:p w14:paraId="3C9CCFA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患者在鼻窦黏膜层面检测到大量以嗜酸性粒细胞或中性粒细胞为主的炎症细胞浸润；也可观测到可引起血管通透性增高的各类细胞因子，进一步加重黏膜水肿及堵塞。这种炎症在有息肉者尤其明显，常呈现明显嗜酸性趋化特征。</w:t>
      </w:r>
    </w:p>
    <w:p w14:paraId="42F83FB1">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 抗原与免疫反应失调。</w:t>
      </w:r>
    </w:p>
    <w:p w14:paraId="66D7ED8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局部过敏性反应被视为慢性鼻窦炎形成和顽固的重要推动因素之一。真菌、金黄色葡萄球菌、环境过敏原等都可能激发免疫系统产生过量IgE或其他免疫介质，引发局部或全身性的过度炎症。对一些患者而言，鼻窦内可能有针对金葡菌肠毒素的超级抗原现象。</w:t>
      </w:r>
    </w:p>
    <w:p w14:paraId="2C4ED649">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 解剖异常及其他外部因素。</w:t>
      </w:r>
    </w:p>
    <w:p w14:paraId="04C0FB9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鼻中隔偏曲、鼻甲肥大或结构变异可加剧窦口狭窄；牙源性病灶或免疫缺陷可增加病原菌繁殖；高污染环境、吸烟及工作场所暴露等都可削弱黏膜防御，诱发或加重慢性炎症的发生。</w:t>
      </w:r>
    </w:p>
    <w:p w14:paraId="2311FDEC">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诱发危险因素</w:t>
      </w:r>
      <w:r>
        <w:rPr>
          <w:rFonts w:hint="eastAsia" w:ascii="仿宋_GB2312" w:hAnsi="仿宋_GB2312" w:eastAsia="仿宋_GB2312" w:cs="仿宋_GB2312"/>
          <w:sz w:val="32"/>
          <w:szCs w:val="32"/>
        </w:rPr>
        <w:t>包括哮喘、变应性鼻炎、阿司匹林加重呼吸道疾病、吸烟、免疫低下、嚼槟榔、牙源性感染及真菌过敏等。儿童中，腺样体肥大也是常见诱因；而对于严重慢性鼻窦炎伴鼻息肉者，还需排除囊性纤维化、原发性纤毛不动综合征及肉芽肿性血管炎等罕见病。</w:t>
      </w:r>
    </w:p>
    <w:p w14:paraId="093BDB31">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临床表现</w:t>
      </w:r>
    </w:p>
    <w:p w14:paraId="5854ADC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慢性鼻窦炎的主要表现通常有下列几个方面： 1）黏稠或脓性分泌物：鼻前或鼻后滴漏，有时伴口臭或咳嗽，尤其清晨或久坐后更明显。 2）鼻塞或阻塞感：黏膜水肿或息肉占位导致的持续性或间断性通气不畅。 3）头面部钝痛压迫感或隐痛：多位于眼眶下方、面颊部或额头，亦可延至牙齿，常呈慢性程度并于夜间或晨起加剧。 4）嗅觉减退或缺失：多见于息肉型，且若伴哮喘或AERD，其嗅觉丧失尤为明显。</w:t>
      </w:r>
    </w:p>
    <w:p w14:paraId="3113366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部分患者还有疲乏、注意力不集中、睡眠障碍、鼻音改变或耳闷堵等。儿童患者可能表现为长期咳嗽、注意力下降和学习成绩受影响；老年患者则可出现失眠、记忆力下降以及更明显的生活质量削弱。</w:t>
      </w:r>
    </w:p>
    <w:p w14:paraId="23A4A532">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诊断要点与鉴别</w:t>
      </w:r>
    </w:p>
    <w:p w14:paraId="7E622BB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国际共识，要确诊慢性鼻窦炎，一般要求患者至少具备两项或以上的核心症状，并且症状持续12周以上，同时在客观检查（鼻内镜或影像学）中证实鼻窦黏膜病变。实践中可考虑以下流程：首先对患者进行症状评估，详细询问病程及过往治疗史，然后进行鼻内镜检查看是否有息肉、脓性分泌物或中鼻道堵塞；若条件允许，可获取分泌物做细菌或真菌培养。若仍存疑，可行鼻窦CT精确显示黏膜增厚、窦口阻塞以及是否存在骨质破坏等。</w:t>
      </w:r>
    </w:p>
    <w:p w14:paraId="56EDC5E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需与其他疾病鉴别，包括单纯变应性鼻炎（仅有清水性分泌物，无顽固性黏稠鼻涕）、血管运动性鼻炎、药物性鼻炎、颅内或眶内并发症、牙源性病灶引起的上颌窦炎、慢性头痛疾病（如偏头痛或丛集性头痛等），乃至少见的鼻腔肿瘤等。一旦发现患者存在高热、视力下降或复视、明显局部红肿压痛或神经系统征象时，应警惕眶内或颅内严重并发症并及时急诊处理。</w:t>
      </w:r>
    </w:p>
    <w:p w14:paraId="3018E07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rPr>
        <w:t>治疗原则与策略</w:t>
      </w:r>
    </w:p>
    <w:p w14:paraId="4568D13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鼻窦炎综合治疗的目标在于提升患者的生活质量，缓解或控制症状，防止急性发作及并发症。主要治疗措施可分为非手术和手术两大类，前者侧重药物干预及环境因素控制，后者则以改善鼻窦结构及引流为主。</w:t>
      </w:r>
    </w:p>
    <w:p w14:paraId="27A67C9E">
      <w:pPr>
        <w:pStyle w:val="28"/>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局部治疗 </w:t>
      </w:r>
    </w:p>
    <w:p w14:paraId="612EC82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核心手段包括鼻腔冲洗和局部糖皮质激素喷雾。高容量生理盐水或弱高渗盐水冲洗能冲走分泌物并维持黏膜湿度；糖皮质激素鼻喷雾剂有助于减少局部水肿及阻塞。对于严重堵塞者，可在短期内加用口服糖皮质激素以迅速减轻息肉大小，使喷雾或冲洗更易到达目标部位。每次鼻喷要注意正确姿势和方向，以减轻药物刺激鼻中隔并减少出血等不良反应。</w:t>
      </w:r>
    </w:p>
    <w:p w14:paraId="5E3BC64F">
      <w:pPr>
        <w:pStyle w:val="28"/>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全身用药 </w:t>
      </w:r>
    </w:p>
    <w:p w14:paraId="5AC066B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口服糖皮质激素对于嗜酸性炎症型病例或AERD及合并哮喘者常有显著短期效应，但长期或反复使用风险较大，需严格评估。抗生素在慢性鼻窦炎中主要用于合并急性细菌加重或临床证据明显的细菌感染情况。一些患者可考虑低剂量大环内酯类做抗炎治疗，但尚缺乏大规模证据。此外，对于AERD患者可能采用阿司匹林脱敏及长期口服阿司匹林维持；对于伴变应性鼻炎者可合并使用第二代口服抗组胺药或抗白三烯药物。</w:t>
      </w:r>
    </w:p>
    <w:p w14:paraId="676779E3">
      <w:pPr>
        <w:pStyle w:val="28"/>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手术治疗 </w:t>
      </w:r>
    </w:p>
    <w:p w14:paraId="2231545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长时间规范药物治疗无效或存在严重结构异常时，功能性内镜鼻窦手术可考虑施行。手术旨在清除炎症组织及分泌物，扩大窦口以恢复通气引流。术后多需继续鼻腔冲洗、局部激素等维持治疗，以防复发。有息肉者常因高嗜酸性炎症而易复发，需要较长期、密切随访和辅助用药。</w:t>
      </w:r>
    </w:p>
    <w:p w14:paraId="38366A53">
      <w:pPr>
        <w:pStyle w:val="28"/>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新型生物制剂 </w:t>
      </w:r>
    </w:p>
    <w:p w14:paraId="597C9F7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顽固性和重度嗜酸性炎症患者，近年兴起的生物制剂（如针对IL-4/5/13或IgE等特异性通路的单克隆抗体）为治疗慢性鼻窦炎尤其伴有息肉型者带来新的可能。相关药物包括已在哮喘等疾病上获批使用的dupilumab、omalizumab及Mepolizumab等，多在医院或专科门诊中开展。据研究结果显示，可显著缩小息肉体积、改善嗅觉并降低口服激素需求。但其长期安全性及药物依从性仍需更多真实世界数据验证。</w:t>
      </w:r>
    </w:p>
    <w:p w14:paraId="53CCBBCD">
      <w:pPr>
        <w:pStyle w:val="28"/>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并发症处理及联合管理 </w:t>
      </w:r>
    </w:p>
    <w:p w14:paraId="2269039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若出现眶内或颅内并发症症状须紧急处理，必要时多学科会诊。对患有哮喘、囊性纤维化、鼻窦真菌感染、免疫缺陷等合并症者，更需呼吸科、过敏免疫科、儿科等协同管理。</w:t>
      </w:r>
    </w:p>
    <w:p w14:paraId="6299F133">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七、</w:t>
      </w:r>
      <w:r>
        <w:rPr>
          <w:rFonts w:hint="eastAsia" w:ascii="仿宋_GB2312" w:hAnsi="仿宋_GB2312" w:eastAsia="仿宋_GB2312" w:cs="仿宋_GB2312"/>
          <w:b/>
          <w:bCs/>
          <w:sz w:val="32"/>
          <w:szCs w:val="32"/>
        </w:rPr>
        <w:t>儿童与特殊人群</w:t>
      </w:r>
    </w:p>
    <w:p w14:paraId="46C723A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儿童慢性鼻窦炎的临床评估需关注腺样体肥大及鼻咽部感染因素。若腺样体肥大明显或反复治疗效果欠佳，则可考虑先进行腺样体切除术。严格药物管理仍是基础。对于严重者或合并解剖异常的患儿可考虑内镜鼻窦手术，但应确保年龄及发育情况适合。</w:t>
      </w:r>
    </w:p>
    <w:p w14:paraId="60AF3C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妊娠期患者若出现慢性鼻窦炎，首选安全性高的局部疗法，包括生理盐水冲洗及低剂量鼻喷激素，避免使用对胎儿风险较高的全身药物。必要时可短期使用安全性相对确证的抗生素或激素。</w:t>
      </w:r>
    </w:p>
    <w:p w14:paraId="5EE73667">
      <w:pPr>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对于伴全身免疫功能低下（如艾滋病、糖尿病、血液系统疾病等）的患者，需充分考虑对耐药病原菌或真菌感染的可能性，通常需与感染科或血液科等合作，及早行病原学培养和外科干预。</w:t>
      </w:r>
    </w:p>
    <w:p w14:paraId="2C016622">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八、</w:t>
      </w:r>
      <w:r>
        <w:rPr>
          <w:rFonts w:hint="eastAsia" w:ascii="仿宋_GB2312" w:hAnsi="仿宋_GB2312" w:eastAsia="仿宋_GB2312" w:cs="仿宋_GB2312"/>
          <w:b/>
          <w:bCs/>
          <w:sz w:val="32"/>
          <w:szCs w:val="32"/>
        </w:rPr>
        <w:t>预后与展望</w:t>
      </w:r>
    </w:p>
    <w:p w14:paraId="4CB7FBF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鼻窦炎的病程常难以完全逆转，治疗目标聚焦在控制炎症、减少复发与提升患者生存质量。药物与手术结合的个体化策略能显著缓解临床症状，对于部分患者来说，终身或长期随访是必需的。无论是有息肉还是无息肉型，若能坚持规范的冲洗与激素治疗，大多数人可在较长时间内保持相对良好的生活状态。部分难治性病例则需生物制剂等新兴疗法介入。对于合并哮喘、AERD或严重息肉者，建议多学科团队跟踪观测，以及时调整方案，减少因反复感染或反复激素使用引发的损害。</w:t>
      </w:r>
    </w:p>
    <w:p w14:paraId="27A0606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对慢性鼻窦炎的管理中，医患沟通及疾病教育亦不可或缺。医师应告知患者需长期维持治疗，并密切监控可能的副作用或并发症。患者方面也需在日常生活中注重环境控制、加强锻炼并避免不利于鼻窦健康的因素。针对重症病例和真菌性类型，积极联合耳鼻喉、呼吸、过敏免疫及口腔科等多学科团队，有助于提升整体诊治水平。</w:t>
      </w:r>
    </w:p>
    <w:p w14:paraId="6498B678">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九、</w:t>
      </w:r>
      <w:bookmarkStart w:id="0" w:name="_GoBack"/>
      <w:bookmarkEnd w:id="0"/>
      <w:r>
        <w:rPr>
          <w:rFonts w:hint="eastAsia" w:ascii="仿宋_GB2312" w:hAnsi="仿宋_GB2312" w:eastAsia="仿宋_GB2312" w:cs="仿宋_GB2312"/>
          <w:b/>
          <w:bCs/>
          <w:sz w:val="32"/>
          <w:szCs w:val="32"/>
        </w:rPr>
        <w:t>总结</w:t>
      </w:r>
    </w:p>
    <w:p w14:paraId="519CF93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鼻窦炎是一种病程漫长、病因复杂、诊治难度较大的慢性疾病，临床上表现多元且易反复发作。围绕其发病机制、诊断及治疗，目前已经形成相对成熟而又不断更新的共识指南。综合性和个体化治疗方案，包括日常的鼻腔冲洗及糖皮质激素维持、急性期适度使用口服激素或抗生素、必要时的功能性内镜鼻窦手术以及新兴的生物制剂，对提升患者生活质量大有裨益。</w:t>
      </w:r>
    </w:p>
    <w:p w14:paraId="0E11110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于患者的全局情况与具体症状表现，临床医师应灵活运用各项诊治方法，并加强对诱发因素的评估与管理，注重多学科合作。通过科学的干预与长期随访管理，大多数慢性鼻窦炎患者可获得不同程度的缓解和生活质量改善。期待未来在分子水平和生物制剂领域的更多进展，进一步完善对慢性鼻窦炎的精准诊疗思路，也为疑难、顽固性鼻窦炎患者带来更多突破与希望。</w:t>
      </w:r>
    </w:p>
    <w:p w14:paraId="7DDF9630">
      <w:pPr>
        <w:rPr>
          <w:rFonts w:hint="eastAsia" w:ascii="仿宋_GB2312" w:hAnsi="仿宋_GB2312" w:eastAsia="仿宋_GB2312" w:cs="仿宋_GB2312"/>
          <w:sz w:val="32"/>
          <w:szCs w:val="32"/>
        </w:rPr>
      </w:pPr>
    </w:p>
    <w:p w14:paraId="6B97CEC9">
      <w:pPr>
        <w:rPr>
          <w:rFonts w:hint="eastAsia" w:ascii="仿宋_GB2312" w:hAnsi="仿宋_GB2312" w:eastAsia="仿宋_GB2312" w:cs="仿宋_GB2312"/>
          <w:sz w:val="32"/>
          <w:szCs w:val="32"/>
        </w:rPr>
      </w:pPr>
    </w:p>
    <w:p w14:paraId="1DF6F099">
      <w:pPr>
        <w:rPr>
          <w:rFonts w:hint="eastAsia" w:ascii="仿宋_GB2312" w:hAnsi="仿宋_GB2312" w:eastAsia="仿宋_GB2312" w:cs="仿宋_GB2312"/>
          <w:sz w:val="32"/>
          <w:szCs w:val="32"/>
        </w:rPr>
      </w:pPr>
    </w:p>
    <w:p w14:paraId="4068AF2B">
      <w:pPr>
        <w:rPr>
          <w:rFonts w:hint="eastAsia" w:ascii="仿宋_GB2312" w:hAnsi="仿宋_GB2312" w:eastAsia="仿宋_GB2312" w:cs="仿宋_GB2312"/>
          <w:sz w:val="32"/>
          <w:szCs w:val="32"/>
        </w:rPr>
      </w:pPr>
    </w:p>
    <w:p w14:paraId="3BC9797A">
      <w:pPr>
        <w:rPr>
          <w:rFonts w:hint="eastAsia" w:ascii="仿宋_GB2312" w:hAnsi="仿宋_GB2312" w:eastAsia="仿宋_GB2312" w:cs="仿宋_GB2312"/>
          <w:sz w:val="32"/>
          <w:szCs w:val="32"/>
        </w:rPr>
      </w:pPr>
    </w:p>
    <w:p w14:paraId="0BBF6863">
      <w:pPr>
        <w:rPr>
          <w:rFonts w:hint="eastAsia" w:ascii="仿宋_GB2312" w:hAnsi="仿宋_GB2312" w:eastAsia="仿宋_GB2312" w:cs="仿宋_GB2312"/>
          <w:sz w:val="32"/>
          <w:szCs w:val="32"/>
        </w:rPr>
      </w:pPr>
    </w:p>
    <w:p w14:paraId="2D98F5CC">
      <w:pPr>
        <w:rPr>
          <w:rFonts w:hint="eastAsia" w:ascii="仿宋_GB2312" w:hAnsi="仿宋_GB2312" w:eastAsia="仿宋_GB2312" w:cs="仿宋_GB2312"/>
          <w:sz w:val="32"/>
          <w:szCs w:val="32"/>
        </w:rPr>
      </w:pPr>
    </w:p>
    <w:p w14:paraId="717C1051">
      <w:pPr>
        <w:rPr>
          <w:rFonts w:hint="eastAsia" w:ascii="仿宋_GB2312" w:hAnsi="仿宋_GB2312" w:eastAsia="仿宋_GB2312" w:cs="仿宋_GB2312"/>
          <w:sz w:val="32"/>
          <w:szCs w:val="32"/>
        </w:rPr>
      </w:pPr>
    </w:p>
    <w:p w14:paraId="4EAEB04F">
      <w:pPr>
        <w:rPr>
          <w:rFonts w:hint="eastAsia" w:ascii="仿宋_GB2312" w:hAnsi="仿宋_GB2312" w:eastAsia="仿宋_GB2312" w:cs="仿宋_GB2312"/>
          <w:sz w:val="32"/>
          <w:szCs w:val="32"/>
        </w:rPr>
      </w:pPr>
    </w:p>
    <w:p w14:paraId="2D90B173">
      <w:pPr>
        <w:rPr>
          <w:rFonts w:hint="eastAsia" w:ascii="仿宋_GB2312" w:hAnsi="仿宋_GB2312" w:eastAsia="仿宋_GB2312" w:cs="仿宋_GB2312"/>
          <w:sz w:val="32"/>
          <w:szCs w:val="32"/>
        </w:rPr>
      </w:pPr>
    </w:p>
    <w:p w14:paraId="14D6F4CE">
      <w:pPr>
        <w:rPr>
          <w:rFonts w:hint="eastAsia" w:ascii="仿宋_GB2312" w:hAnsi="仿宋_GB2312" w:eastAsia="仿宋_GB2312" w:cs="仿宋_GB2312"/>
          <w:sz w:val="32"/>
          <w:szCs w:val="32"/>
        </w:rPr>
      </w:pPr>
    </w:p>
    <w:p w14:paraId="78623E77">
      <w:pPr>
        <w:widowControl/>
        <w:spacing w:before="100" w:beforeAutospacing="1" w:after="100" w:afterAutospacing="1"/>
        <w:jc w:val="left"/>
        <w:rPr>
          <w:rFonts w:hint="eastAsia" w:ascii="仿宋_GB2312" w:hAnsi="仿宋_GB2312" w:eastAsia="仿宋_GB2312" w:cs="仿宋_GB2312"/>
          <w:b/>
          <w:bCs/>
          <w:kern w:val="0"/>
          <w:sz w:val="32"/>
          <w:szCs w:val="32"/>
          <w:lang w:eastAsia="zh-CN"/>
          <w14:ligatures w14:val="none"/>
        </w:rPr>
      </w:pPr>
      <w:r>
        <w:rPr>
          <w:rFonts w:hint="eastAsia" w:ascii="仿宋_GB2312" w:hAnsi="仿宋_GB2312" w:eastAsia="仿宋_GB2312" w:cs="仿宋_GB2312"/>
          <w:b/>
          <w:bCs/>
          <w:kern w:val="0"/>
          <w:sz w:val="32"/>
          <w:szCs w:val="32"/>
          <w:lang w:eastAsia="zh-CN"/>
          <w14:ligatures w14:val="none"/>
        </w:rPr>
        <w:t>附单项选择题</w:t>
      </w:r>
    </w:p>
    <w:p w14:paraId="54CCBED1">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1. 关于慢性鼻窦炎的临床诊断标准，下列哪项描述最为准确？</w:t>
      </w:r>
    </w:p>
    <w:p w14:paraId="4DC13489">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病程超过2周即可诊断</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四大核心症状仅需存在1项且持续8周</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症状需持续12周以上且至少有两项核心症状，并结合影像或内镜证据</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仅凭患者自述打喷嚏、流涕即可确诊</w:t>
      </w:r>
    </w:p>
    <w:p w14:paraId="7867EBED">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2. 下列关于慢性鼻窦炎与鼻息肉关系的表述，哪项是正确的？</w:t>
      </w:r>
    </w:p>
    <w:p w14:paraId="45D2EC5E">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合并鼻息肉的患者仅占慢性鼻窦炎人群的不到5%</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合并鼻息肉者常病程更顽固，且易术后复发</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一旦出现鼻息肉则应马上考虑手术干预</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无息肉型比有息肉型更易出现哮喘合并症</w:t>
      </w:r>
    </w:p>
    <w:p w14:paraId="7868BCA3">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3. 对于慢性鼻窦炎的流行病学描述，下列哪一项是正确的？</w:t>
      </w:r>
    </w:p>
    <w:p w14:paraId="6519A735">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在普通人群中的患病率约可达5%～12%</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女性患病率远低于男性</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仅在老年人群中常见</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无法通过干预方式降低社会经济负担</w:t>
      </w:r>
    </w:p>
    <w:p w14:paraId="1E4A516C">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4. 与慢性鼻窦炎发病关系最密切的主要病理机制是：</w:t>
      </w:r>
    </w:p>
    <w:p w14:paraId="24224D77">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单纯细菌感染持续不消</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以慢性炎症-免疫失调为核心，并伴黏液纤毛功能紊乱</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鼻黏膜反复机械性损伤</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自身抗体产生导致鼻窦上皮溃疡</w:t>
      </w:r>
    </w:p>
    <w:p w14:paraId="312F9413">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5. 慢性鼻窦炎最常见的临床症状或体征不包括：</w:t>
      </w:r>
    </w:p>
    <w:p w14:paraId="09505F38">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鼻腔黏稠或脓性分泌物</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持续性鼻塞或阻塞感</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头面部钝痛或压迫感</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仅表现为突发性剧烈头痛并伴高热寒战</w:t>
      </w:r>
    </w:p>
    <w:p w14:paraId="1C839DB8">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6. 对于慢性鼻窦炎患者的首要治疗目标，下列哪项最为关键？</w:t>
      </w:r>
    </w:p>
    <w:p w14:paraId="004667D3">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寻找所有可能病原菌并连续高剂量抗生素</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彻底根治并保证不再复发</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改善生活质量，控制症状并减少急性发作</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尽快行内镜手术切除所有黏膜</w:t>
      </w:r>
    </w:p>
    <w:p w14:paraId="349558E5">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7. 下列哪种用药策略属于慢性鼻窦炎局部治疗的常用方案？</w:t>
      </w:r>
    </w:p>
    <w:p w14:paraId="60800F79">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使用大剂量局部麻黄碱滴鼻液长期维持</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使用生理盐水或弱高渗盐水鼻腔冲洗，配合局部糖皮质激素喷雾</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鼻腔冲洗仅适用于儿童，成人无明显获益</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无需任何局部用药，单纯口服激素即可</w:t>
      </w:r>
    </w:p>
    <w:p w14:paraId="36D665D6">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8. 对于服药难以改善或存在严重结构异常的慢性鼻窦炎患者，以下哪项干预更常被考虑？</w:t>
      </w:r>
    </w:p>
    <w:p w14:paraId="5A0D8CEC">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功能性内镜鼻窦手术（FESS）</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单次大剂量化疗</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传统开放式鼻窦根治术</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放射治疗</w:t>
      </w:r>
    </w:p>
    <w:p w14:paraId="14473823">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9. 有息肉型慢性鼻窦炎患者最需关注的常见合并症或病情加重因素不包括：</w:t>
      </w:r>
    </w:p>
    <w:p w14:paraId="0B41433A">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哮喘</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阿司匹林加重呼吸道疾病（AERD）</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囊性纤维化</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胸腔积液</w:t>
      </w:r>
    </w:p>
    <w:p w14:paraId="1FD88284">
      <w:pPr>
        <w:widowControl/>
        <w:jc w:val="left"/>
        <w:rPr>
          <w:rFonts w:hint="eastAsia" w:ascii="仿宋_GB2312" w:hAnsi="仿宋_GB2312" w:eastAsia="仿宋_GB2312" w:cs="仿宋_GB2312"/>
          <w:kern w:val="0"/>
          <w:sz w:val="32"/>
          <w:szCs w:val="32"/>
          <w14:ligatures w14:val="none"/>
        </w:rPr>
      </w:pPr>
    </w:p>
    <w:p w14:paraId="5013D3B3">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b/>
          <w:bCs/>
          <w:kern w:val="0"/>
          <w:sz w:val="32"/>
          <w:szCs w:val="32"/>
          <w14:ligatures w14:val="none"/>
        </w:rPr>
        <w:t>10. 关于新型生物制剂在慢性鼻窦炎（尤其伴鼻息肉）的应用，下列哪一项是正确的？</w:t>
      </w:r>
    </w:p>
    <w:p w14:paraId="23AD5A63">
      <w:pPr>
        <w:widowControl/>
        <w:spacing w:before="100" w:beforeAutospacing="1" w:after="100" w:afterAutospacing="1"/>
        <w:jc w:val="left"/>
        <w:rPr>
          <w:rFonts w:hint="eastAsia" w:ascii="仿宋_GB2312" w:hAnsi="仿宋_GB2312" w:eastAsia="仿宋_GB2312" w:cs="仿宋_GB2312"/>
          <w:kern w:val="0"/>
          <w:sz w:val="32"/>
          <w:szCs w:val="32"/>
          <w14:ligatures w14:val="none"/>
        </w:rPr>
      </w:pPr>
      <w:r>
        <w:rPr>
          <w:rFonts w:hint="eastAsia" w:ascii="仿宋_GB2312" w:hAnsi="仿宋_GB2312" w:eastAsia="仿宋_GB2312" w:cs="仿宋_GB2312"/>
          <w:kern w:val="0"/>
          <w:sz w:val="32"/>
          <w:szCs w:val="32"/>
          <w14:ligatures w14:val="none"/>
        </w:rPr>
        <w:t>A. 生物制剂已经证实可一次性完全根治慢性鼻窦炎</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B. 主要针对重度或顽固的嗜酸性炎症患者，可缩小息肉并改善嗅觉</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C. 用药后不需配合任何其他维持治疗</w:t>
      </w:r>
      <w:r>
        <w:rPr>
          <w:rFonts w:hint="eastAsia" w:ascii="仿宋_GB2312" w:hAnsi="仿宋_GB2312" w:eastAsia="仿宋_GB2312" w:cs="仿宋_GB2312"/>
          <w:kern w:val="0"/>
          <w:sz w:val="32"/>
          <w:szCs w:val="32"/>
          <w14:ligatures w14:val="none"/>
        </w:rPr>
        <w:br w:type="textWrapping"/>
      </w:r>
      <w:r>
        <w:rPr>
          <w:rFonts w:hint="eastAsia" w:ascii="仿宋_GB2312" w:hAnsi="仿宋_GB2312" w:eastAsia="仿宋_GB2312" w:cs="仿宋_GB2312"/>
          <w:kern w:val="0"/>
          <w:sz w:val="32"/>
          <w:szCs w:val="32"/>
          <w14:ligatures w14:val="none"/>
        </w:rPr>
        <w:t>D. 无需担心其费用与长期安全性</w:t>
      </w:r>
    </w:p>
    <w:p w14:paraId="275D9999">
      <w:pPr>
        <w:rPr>
          <w:rFonts w:hint="eastAsia"/>
          <w:szCs w:val="21"/>
        </w:rPr>
      </w:pP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标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320410"/>
    <w:multiLevelType w:val="multilevel"/>
    <w:tmpl w:val="6132041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913F0E"/>
    <w:rsid w:val="000A39C3"/>
    <w:rsid w:val="001B1A6D"/>
    <w:rsid w:val="0029772A"/>
    <w:rsid w:val="00365AFC"/>
    <w:rsid w:val="004E228B"/>
    <w:rsid w:val="005D53E5"/>
    <w:rsid w:val="005F5345"/>
    <w:rsid w:val="006C4710"/>
    <w:rsid w:val="00903472"/>
    <w:rsid w:val="00913F0E"/>
    <w:rsid w:val="00954C32"/>
    <w:rsid w:val="00AC0AD9"/>
    <w:rsid w:val="00D108B3"/>
    <w:rsid w:val="00E46EF6"/>
    <w:rsid w:val="01C04CDF"/>
    <w:rsid w:val="2AC73D91"/>
    <w:rsid w:val="33870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2"/>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85858" w:themeColor="text1" w:themeTint="A6"/>
    </w:rPr>
  </w:style>
  <w:style w:type="character" w:default="1" w:styleId="14">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0F4761"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18">
    <w:name w:val="标题 4 字符"/>
    <w:basedOn w:val="14"/>
    <w:link w:val="5"/>
    <w:semiHidden/>
    <w:qFormat/>
    <w:uiPriority w:val="9"/>
    <w:rPr>
      <w:rFonts w:cstheme="majorBidi"/>
      <w:color w:val="0F4761" w:themeColor="accent1" w:themeShade="BF"/>
      <w:sz w:val="28"/>
      <w:szCs w:val="28"/>
    </w:rPr>
  </w:style>
  <w:style w:type="character" w:customStyle="1" w:styleId="19">
    <w:name w:val="标题 5 字符"/>
    <w:basedOn w:val="14"/>
    <w:link w:val="6"/>
    <w:semiHidden/>
    <w:qFormat/>
    <w:uiPriority w:val="9"/>
    <w:rPr>
      <w:rFonts w:cstheme="majorBidi"/>
      <w:color w:val="0F4761" w:themeColor="accent1" w:themeShade="BF"/>
      <w:sz w:val="24"/>
      <w:szCs w:val="24"/>
    </w:rPr>
  </w:style>
  <w:style w:type="character" w:customStyle="1" w:styleId="20">
    <w:name w:val="标题 6 字符"/>
    <w:basedOn w:val="14"/>
    <w:link w:val="7"/>
    <w:semiHidden/>
    <w:qFormat/>
    <w:uiPriority w:val="9"/>
    <w:rPr>
      <w:rFonts w:cstheme="majorBidi"/>
      <w:b/>
      <w:bCs/>
      <w:color w:val="0F4761" w:themeColor="accent1" w:themeShade="BF"/>
    </w:rPr>
  </w:style>
  <w:style w:type="character" w:customStyle="1" w:styleId="21">
    <w:name w:val="标题 7 字符"/>
    <w:basedOn w:val="14"/>
    <w:link w:val="8"/>
    <w:semiHidden/>
    <w:qFormat/>
    <w:uiPriority w:val="9"/>
    <w:rPr>
      <w:rFonts w:cstheme="majorBidi"/>
      <w:b/>
      <w:bCs/>
      <w:color w:val="585858" w:themeColor="text1" w:themeTint="A6"/>
    </w:rPr>
  </w:style>
  <w:style w:type="character" w:customStyle="1" w:styleId="22">
    <w:name w:val="标题 8 字符"/>
    <w:basedOn w:val="14"/>
    <w:link w:val="9"/>
    <w:semiHidden/>
    <w:qFormat/>
    <w:uiPriority w:val="9"/>
    <w:rPr>
      <w:rFonts w:cstheme="majorBidi"/>
      <w:color w:val="585858" w:themeColor="text1" w:themeTint="A6"/>
    </w:rPr>
  </w:style>
  <w:style w:type="character" w:customStyle="1" w:styleId="23">
    <w:name w:val="标题 9 字符"/>
    <w:basedOn w:val="14"/>
    <w:link w:val="10"/>
    <w:semiHidden/>
    <w:qFormat/>
    <w:uiPriority w:val="9"/>
    <w:rPr>
      <w:rFonts w:eastAsiaTheme="majorEastAsia" w:cstheme="majorBidi"/>
      <w:color w:val="585858" w:themeColor="text1" w:themeTint="A6"/>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85858" w:themeColor="text1" w:themeTint="A6"/>
      <w:spacing w:val="15"/>
      <w:sz w:val="28"/>
      <w:szCs w:val="28"/>
    </w:rPr>
  </w:style>
  <w:style w:type="paragraph" w:styleId="26">
    <w:name w:val="Quote"/>
    <w:basedOn w:val="1"/>
    <w:next w:val="1"/>
    <w:link w:val="27"/>
    <w:qFormat/>
    <w:uiPriority w:val="29"/>
    <w:pPr>
      <w:spacing w:before="160" w:after="160"/>
      <w:jc w:val="center"/>
    </w:pPr>
    <w:rPr>
      <w:i/>
      <w:iCs/>
      <w:color w:val="3F3F3F" w:themeColor="text1" w:themeTint="BF"/>
    </w:rPr>
  </w:style>
  <w:style w:type="character" w:customStyle="1" w:styleId="27">
    <w:name w:val="引用 字符"/>
    <w:basedOn w:val="14"/>
    <w:link w:val="26"/>
    <w:qFormat/>
    <w:uiPriority w:val="29"/>
    <w:rPr>
      <w:i/>
      <w:iCs/>
      <w:color w:val="3F3F3F" w:themeColor="text1" w:themeTint="BF"/>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0F4761"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1">
    <w:name w:val="明显引用 字符"/>
    <w:basedOn w:val="14"/>
    <w:link w:val="30"/>
    <w:qFormat/>
    <w:uiPriority w:val="30"/>
    <w:rPr>
      <w:i/>
      <w:iCs/>
      <w:color w:val="0F4761" w:themeColor="accent1" w:themeShade="BF"/>
    </w:rPr>
  </w:style>
  <w:style w:type="character" w:customStyle="1" w:styleId="32">
    <w:name w:val="Intense Reference"/>
    <w:basedOn w:val="14"/>
    <w:qFormat/>
    <w:uiPriority w:val="32"/>
    <w:rPr>
      <w:b/>
      <w:bCs/>
      <w:smallCaps/>
      <w:color w:val="0F4761" w:themeColor="accent1" w:themeShade="BF"/>
      <w:spacing w:val="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5630</Words>
  <Characters>5816</Characters>
  <Lines>43</Lines>
  <Paragraphs>12</Paragraphs>
  <TotalTime>65</TotalTime>
  <ScaleCrop>false</ScaleCrop>
  <LinksUpToDate>false</LinksUpToDate>
  <CharactersWithSpaces>5902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2025-03-25T23:50:00Z</dcterms:created>
  <dc:creator>frank frank</dc:creator>
  <cp:lastModifiedBy>轻舞飞扬</cp:lastModifiedBy>
  <dcterms:modified xsi:type="dcterms:W3CDTF">2025-12-23T06:51:28Z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2052-12.1.0.24034</vt:lpwstr>
  </property>
  <property fmtid="{D5CDD505-2E9C-101B-9397-08002B2CF9AE}" pid="4" name="ICV">
    <vt:lpwstr>D96B8F8098FF44A5A7B84C28D8DE2D01_12</vt:lpwstr>
  </property>
</Properties>
</file>